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/>
          <w:b/>
          <w:b/>
          <w:szCs w:val="28"/>
        </w:rPr>
      </w:pPr>
      <w:r>
        <w:rPr>
          <w:rFonts w:cs="Calibri" w:ascii="Calibri" w:hAnsi="Calibri"/>
          <w:b/>
          <w:szCs w:val="28"/>
          <w:lang w:val="pl-PL" w:eastAsia="en-US" w:bidi="ar-SA"/>
        </w:rPr>
        <w:t xml:space="preserve">Wymagania edukacyjne z biologii dla klasy pierwszej szkoły ponadpodstawowej </w:t>
      </w:r>
    </w:p>
    <w:p>
      <w:pPr>
        <w:pStyle w:val="Normal"/>
        <w:rPr>
          <w:rFonts w:ascii="Calibri" w:hAnsi="Calibri" w:cs="Calibri"/>
          <w:b/>
          <w:b/>
          <w:szCs w:val="28"/>
        </w:rPr>
      </w:pPr>
      <w:r>
        <w:rPr>
          <w:rFonts w:cs="Calibri" w:ascii="Calibri" w:hAnsi="Calibri"/>
          <w:b/>
          <w:szCs w:val="28"/>
        </w:rPr>
      </w:r>
    </w:p>
    <w:tbl>
      <w:tblPr>
        <w:tblStyle w:val="Tabela-Siatka"/>
        <w:tblW w:w="139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31"/>
        <w:gridCol w:w="2332"/>
        <w:gridCol w:w="2333"/>
        <w:gridCol w:w="2331"/>
        <w:gridCol w:w="2332"/>
        <w:gridCol w:w="2332"/>
      </w:tblGrid>
      <w:tr>
        <w:trPr>
          <w:trHeight w:val="365" w:hRule="atLeast"/>
        </w:trPr>
        <w:tc>
          <w:tcPr>
            <w:tcW w:w="233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/>
                <w:b/>
                <w:b/>
                <w:color w:val="70AD47" w:themeColor="accent6"/>
                <w:sz w:val="20"/>
                <w:szCs w:val="16"/>
                <w:lang w:val="pl-PL" w:eastAsia="en-US" w:bidi="ar-SA"/>
              </w:rPr>
            </w:pPr>
            <w:r>
              <w:rPr>
                <w:rFonts w:cs="Calibri" w:ascii="Calibri" w:hAnsi="Calibri"/>
                <w:b/>
                <w:color w:val="70AD47" w:themeColor="accent6"/>
                <w:sz w:val="20"/>
                <w:szCs w:val="16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/>
                <w:b/>
                <w:b/>
                <w:color w:val="70AD47"/>
                <w:sz w:val="20"/>
                <w:lang w:val="pl-PL" w:eastAsia="en-US" w:bidi="ar-SA"/>
              </w:rPr>
            </w:pPr>
            <w:r>
              <w:rPr>
                <w:rFonts w:cs="Calibri" w:ascii="Calibri" w:hAnsi="Calibri"/>
                <w:b/>
                <w:color w:val="70AD47" w:themeColor="accent6"/>
                <w:kern w:val="0"/>
                <w:sz w:val="20"/>
                <w:szCs w:val="16"/>
                <w:lang w:val="pl-PL" w:eastAsia="en-US" w:bidi="ar-SA"/>
              </w:rPr>
              <w:t>Temat</w:t>
            </w:r>
          </w:p>
        </w:tc>
        <w:tc>
          <w:tcPr>
            <w:tcW w:w="11660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/>
                <w:b/>
                <w:b/>
                <w:color w:val="70AD47"/>
                <w:sz w:val="20"/>
                <w:lang w:val="pl-PL" w:eastAsia="en-US" w:bidi="ar-SA"/>
              </w:rPr>
            </w:pPr>
            <w:r>
              <w:rPr>
                <w:rFonts w:cs="Calibri" w:ascii="Calibri" w:hAnsi="Calibri"/>
                <w:b/>
                <w:color w:val="70AD47" w:themeColor="accent6"/>
                <w:kern w:val="0"/>
                <w:sz w:val="20"/>
                <w:szCs w:val="16"/>
                <w:lang w:val="pl-PL" w:eastAsia="en-US" w:bidi="ar-SA"/>
              </w:rPr>
              <w:t>Poziom wymagań</w:t>
            </w:r>
          </w:p>
        </w:tc>
      </w:tr>
      <w:tr>
        <w:trPr>
          <w:trHeight w:val="415" w:hRule="atLeast"/>
        </w:trPr>
        <w:tc>
          <w:tcPr>
            <w:tcW w:w="233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/>
                <w:b/>
                <w:b/>
                <w:color w:val="70AD47" w:themeColor="accent6"/>
                <w:sz w:val="20"/>
                <w:szCs w:val="16"/>
                <w:lang w:val="pl-PL" w:eastAsia="en-US" w:bidi="ar-SA"/>
              </w:rPr>
            </w:pPr>
            <w:r>
              <w:rPr>
                <w:rFonts w:cs="Calibri" w:ascii="Calibri" w:hAnsi="Calibri"/>
                <w:b/>
                <w:color w:val="70AD47" w:themeColor="accent6"/>
                <w:sz w:val="20"/>
                <w:szCs w:val="16"/>
                <w:lang w:val="pl-PL" w:eastAsia="en-US" w:bidi="ar-SA"/>
              </w:rPr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/>
                <w:b/>
                <w:b/>
                <w:color w:val="70AD47"/>
                <w:sz w:val="20"/>
                <w:lang w:val="pl-PL" w:eastAsia="en-US" w:bidi="ar-SA"/>
              </w:rPr>
            </w:pPr>
            <w:r>
              <w:rPr>
                <w:rFonts w:cs="Calibri" w:ascii="Calibri" w:hAnsi="Calibri"/>
                <w:b/>
                <w:color w:val="70AD47" w:themeColor="accent6"/>
                <w:kern w:val="0"/>
                <w:sz w:val="20"/>
                <w:szCs w:val="16"/>
                <w:lang w:val="pl-PL" w:eastAsia="en-US" w:bidi="ar-SA"/>
              </w:rPr>
              <w:t>ocena dopuszczająca</w:t>
            </w:r>
          </w:p>
        </w:tc>
        <w:tc>
          <w:tcPr>
            <w:tcW w:w="23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/>
                <w:b/>
                <w:b/>
                <w:color w:val="70AD47"/>
                <w:sz w:val="20"/>
                <w:lang w:val="pl-PL" w:eastAsia="en-US" w:bidi="ar-SA"/>
              </w:rPr>
            </w:pPr>
            <w:r>
              <w:rPr>
                <w:rFonts w:cs="Calibri" w:ascii="Calibri" w:hAnsi="Calibri"/>
                <w:b/>
                <w:color w:val="70AD47" w:themeColor="accent6"/>
                <w:kern w:val="0"/>
                <w:sz w:val="20"/>
                <w:szCs w:val="16"/>
                <w:lang w:val="pl-PL" w:eastAsia="en-US" w:bidi="ar-SA"/>
              </w:rPr>
              <w:t>ocena dostateczna</w:t>
            </w:r>
          </w:p>
        </w:tc>
        <w:tc>
          <w:tcPr>
            <w:tcW w:w="23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/>
                <w:b/>
                <w:b/>
                <w:color w:val="70AD47"/>
                <w:sz w:val="20"/>
                <w:lang w:val="pl-PL" w:eastAsia="en-US" w:bidi="ar-SA"/>
              </w:rPr>
            </w:pPr>
            <w:r>
              <w:rPr>
                <w:rFonts w:cs="Calibri" w:ascii="Calibri" w:hAnsi="Calibri"/>
                <w:b/>
                <w:color w:val="70AD47" w:themeColor="accent6"/>
                <w:kern w:val="0"/>
                <w:sz w:val="20"/>
                <w:szCs w:val="16"/>
                <w:lang w:val="pl-PL" w:eastAsia="en-US" w:bidi="ar-SA"/>
              </w:rPr>
              <w:t>ocena dobra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/>
                <w:b/>
                <w:b/>
                <w:color w:val="70AD47"/>
                <w:sz w:val="20"/>
                <w:lang w:val="pl-PL" w:eastAsia="en-US" w:bidi="ar-SA"/>
              </w:rPr>
            </w:pPr>
            <w:r>
              <w:rPr>
                <w:rFonts w:cs="Calibri" w:ascii="Calibri" w:hAnsi="Calibri"/>
                <w:b/>
                <w:color w:val="70AD47" w:themeColor="accent6"/>
                <w:kern w:val="0"/>
                <w:sz w:val="20"/>
                <w:szCs w:val="16"/>
                <w:lang w:val="pl-PL" w:eastAsia="en-US" w:bidi="ar-SA"/>
              </w:rPr>
              <w:t>ocena bardzo dobra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/>
                <w:b/>
                <w:b/>
                <w:color w:val="70AD47"/>
                <w:sz w:val="20"/>
                <w:lang w:val="pl-PL" w:eastAsia="en-US" w:bidi="ar-SA"/>
              </w:rPr>
            </w:pPr>
            <w:r>
              <w:rPr>
                <w:rFonts w:cs="Calibri" w:ascii="Calibri" w:hAnsi="Calibri"/>
                <w:b/>
                <w:color w:val="70AD47" w:themeColor="accent6"/>
                <w:kern w:val="0"/>
                <w:sz w:val="20"/>
                <w:szCs w:val="16"/>
                <w:lang w:val="pl-PL" w:eastAsia="en-US" w:bidi="ar-SA"/>
              </w:rPr>
              <w:t>ocena celująca</w:t>
            </w:r>
          </w:p>
        </w:tc>
      </w:tr>
      <w:tr>
        <w:trPr/>
        <w:tc>
          <w:tcPr>
            <w:tcW w:w="13991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b/>
                <w:b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>1. Znaczenie nauk biologicznych</w:t>
            </w:r>
          </w:p>
        </w:tc>
      </w:tr>
      <w:tr>
        <w:trPr/>
        <w:tc>
          <w:tcPr>
            <w:tcW w:w="23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b/>
                <w:b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>1. Znaczenie nauk biologicznych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lang w:val="pl-PL" w:eastAsia="en-US" w:bidi="ar-SA"/>
              </w:rPr>
            </w:pPr>
            <w:r>
              <w:rPr>
                <w:rFonts w:cs="Calibri" w:cstheme="minorHAnsi"/>
                <w:i/>
                <w:kern w:val="0"/>
                <w:sz w:val="20"/>
                <w:szCs w:val="20"/>
                <w:lang w:val="pl-PL" w:eastAsia="en-US" w:bidi="ar-SA"/>
              </w:rPr>
              <w:t>Uczeń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definiuje pojęcie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val="pl-PL" w:eastAsia="en-US" w:bidi="ar-SA"/>
              </w:rPr>
              <w:t>biologia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wskazuje cechy organizmów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wymienia dziedziny życia, w których mają znaczenie osiągnięcia biologiczne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wykorzystuje różnorodne źródła i metody do pozyskiwania informacji</w:t>
            </w:r>
          </w:p>
        </w:tc>
        <w:tc>
          <w:tcPr>
            <w:tcW w:w="23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lang w:val="pl-PL" w:eastAsia="en-US" w:bidi="ar-SA"/>
              </w:rPr>
            </w:pPr>
            <w:r>
              <w:rPr>
                <w:rFonts w:cs="Calibri" w:cstheme="minorHAnsi"/>
                <w:i/>
                <w:kern w:val="0"/>
                <w:sz w:val="20"/>
                <w:szCs w:val="20"/>
                <w:lang w:val="pl-PL" w:eastAsia="en-US" w:bidi="ar-SA"/>
              </w:rPr>
              <w:t>Uczeń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wyjaśnia, jakie cechy mają organizmy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podaje przykłady współczesnych osiągnięć biologicznych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nauk przyrodniczych w różnych dziedzinach życia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odróżnia wiedzę potoczną od wiedzy uzyskanej metodami naukowymi</w:t>
            </w:r>
          </w:p>
        </w:tc>
        <w:tc>
          <w:tcPr>
            <w:tcW w:w="23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lang w:val="pl-PL" w:eastAsia="en-US" w:bidi="ar-SA"/>
              </w:rPr>
            </w:pPr>
            <w:r>
              <w:rPr>
                <w:rFonts w:cs="Calibri" w:cstheme="minorHAnsi"/>
                <w:i/>
                <w:kern w:val="0"/>
                <w:sz w:val="20"/>
                <w:szCs w:val="20"/>
                <w:lang w:val="pl-PL" w:eastAsia="en-US" w:bidi="ar-SA"/>
              </w:rPr>
              <w:t>Uczeń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omawia cechy organizmów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wyjaśnia cele, przedmiot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i metody badań naukowych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 biologii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omawia istotę kilku współczesnych odkryć biologicznych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analizuje różne źródła informacji pod względem ich wiarygodności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lang w:val="pl-PL" w:eastAsia="en-US" w:bidi="ar-SA"/>
              </w:rPr>
            </w:pPr>
            <w:r>
              <w:rPr>
                <w:rFonts w:cs="Calibri" w:cstheme="minorHAnsi"/>
                <w:i/>
                <w:kern w:val="0"/>
                <w:sz w:val="20"/>
                <w:szCs w:val="20"/>
                <w:lang w:val="pl-PL" w:eastAsia="en-US" w:bidi="ar-SA"/>
              </w:rPr>
              <w:t>Uczeń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wyjaśnia, na czym polegają współczesne odkrycia biologiczne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analizuje wpływ rozwoju nauk biologicznych na różne dziedziny życia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wyjaśnia, czym zajmują się różne dziedziny nauk biologicznych, np. bioinformatyka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lang w:val="pl-PL" w:eastAsia="en-US" w:bidi="ar-SA"/>
              </w:rPr>
            </w:pPr>
            <w:r>
              <w:rPr>
                <w:rFonts w:cs="Calibri" w:cstheme="minorHAnsi"/>
                <w:i/>
                <w:kern w:val="0"/>
                <w:sz w:val="20"/>
                <w:szCs w:val="20"/>
                <w:lang w:val="pl-PL" w:eastAsia="en-US" w:bidi="ar-SA"/>
              </w:rPr>
              <w:t>Uczeń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wykazuje związek współczesnych odkryć biologicznych z rozwojem metodologii badań biologicznych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wyjaśnia związek pomiędzy nabytą wiedzą biologiczną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a przygotowaniem do wykonywania różnych współczesnych zawodów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odnosi się krytycznie do informacji pozyskanych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z różnych źródeł, w tym internetowych</w:t>
            </w:r>
          </w:p>
        </w:tc>
      </w:tr>
      <w:tr>
        <w:trPr/>
        <w:tc>
          <w:tcPr>
            <w:tcW w:w="23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b/>
                <w:b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>2. Zasady prowadzenia badań biologicznych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wymienia metody poznawania świata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definiuje pojęcia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val="pl-PL" w:eastAsia="en-US" w:bidi="ar-SA"/>
              </w:rPr>
              <w:t>doświadczenie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val="pl-PL" w:eastAsia="en-US" w:bidi="ar-SA"/>
              </w:rPr>
              <w:t>obserwacja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val="pl-PL" w:eastAsia="en-US" w:bidi="ar-SA"/>
              </w:rPr>
              <w:t>teoria naukowa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val="pl-PL" w:eastAsia="en-US" w:bidi="ar-SA"/>
              </w:rPr>
              <w:t>problem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val="pl-PL" w:eastAsia="en-US" w:bidi="ar-SA"/>
              </w:rPr>
              <w:t>badawczy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val="pl-PL" w:eastAsia="en-US" w:bidi="ar-SA"/>
              </w:rPr>
              <w:t>hipoteza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val="pl-PL" w:eastAsia="en-US" w:bidi="ar-SA"/>
              </w:rPr>
              <w:t>próba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val="pl-PL" w:eastAsia="en-US" w:bidi="ar-SA"/>
              </w:rPr>
              <w:t>badawcza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val="pl-PL" w:eastAsia="en-US" w:bidi="ar-SA"/>
              </w:rPr>
              <w:t>próba kontrolna,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val="pl-PL" w:eastAsia="en-US" w:bidi="ar-SA"/>
              </w:rPr>
              <w:t>wniosek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wymienia etapy badań biologicznych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wskazuje sposoby dokumentacji wyników badań biologicznych</w:t>
            </w:r>
          </w:p>
        </w:tc>
        <w:tc>
          <w:tcPr>
            <w:tcW w:w="23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wskazuje różnicę miedzy obserwacją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a doświadczeniem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rozróżnia problem badawczy od hipotezy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rozróżnia próbę badawczą od próby kontrolnej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odczytuje i analizuje informacje tekstowe, graficzne i liczbowe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odróżnia fakty od opinii</w:t>
            </w:r>
          </w:p>
        </w:tc>
        <w:tc>
          <w:tcPr>
            <w:tcW w:w="23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wyjaśnia, na czym polega różnica między obserwacją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a doświadczeniem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formułuje główne etapy badań do konkretnych obserwacji i doświadczeń biologicznych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wyjaśnia i omawia zasady prowadzenia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i dokumentowania badań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planuje przykładową obserwację biologiczną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wykonuje dokumentację przykładowej obserwacji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analizuje etapy prowadzenia badań biologicznych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ocenia poprawność zastosowanych procedur badawczych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planuje, przeprowadza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i dokumentuje proste doświadczenie biologiczne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interpretuje i przetwarza informacje tekstowe, graficzne, liczbowe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 typowych sytuacjach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formułuje wnioski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odnosi się do wyników uzyskanych przez innych badaczy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określa warunki doświadczenia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właściwie planuje obserwacje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i doświadczenia oraz interpretuje ich wyniki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stosuje dwa rodzaje prób kontrolnych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 przeprowadzonych doświadczeniach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wskazuje różnice między danymi ilościowymi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a danymi jakościowymi</w:t>
            </w:r>
          </w:p>
        </w:tc>
      </w:tr>
      <w:tr>
        <w:trPr/>
        <w:tc>
          <w:tcPr>
            <w:tcW w:w="23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b/>
                <w:b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>3. Obserwacje biologiczne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wskazuje różnicę między obserwacją makroskopową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a obserwacją mikroskopową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wymienia, jakie obiekty można zobaczyć gołym okiem, a jakie przy użyciu różnych rodzajów mikroskopów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podaje nazwy elementów układu optycznego i układu mechanicznego mikroskopu optycznego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wymienia cechy obrazu oglądanego pod mikroskopem optycznym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obserwuje pod mikroskopem optycznym gotowe preparaty</w:t>
            </w:r>
          </w:p>
        </w:tc>
        <w:tc>
          <w:tcPr>
            <w:tcW w:w="23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przedstawia zasady mikroskopowania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prowadzi samodzielnie obserwacje makro- i mikroskopowe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oblicza powiększenie mikroskopu</w:t>
            </w:r>
          </w:p>
        </w:tc>
        <w:tc>
          <w:tcPr>
            <w:tcW w:w="23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wyjaśnia sposób działania mikroskopów: optycznego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i elektronowego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porównuje działanie mikroskopu optycznego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z działaniem mikroskopu elektronowego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wymienia zalety i wady mikroskopów optycznych oraz elektronowych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definiuje i stosuje pojęcie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val="pl-PL" w:eastAsia="en-US" w:bidi="ar-SA"/>
              </w:rPr>
              <w:t xml:space="preserve">zdolność rozdzielcza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przy opisie działania różnych typów mikroskopów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wykonuje samodzielnie preparaty mikroskopowe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przeprowadza obserwację przygotowanych preparatów mikroskopowych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prawidłowo dokumentuje wyniki obserwacji preparatów mikroskopowych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 w:cstheme="minorHAns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planuje i przeprowadza nietypowe obserwacje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na podstawie różnych zdjęć, zamieszczonych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 literaturze popularno-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-naukowej wskazuje, za pomocą jakiego mikroskopu uzyskano przedstawiony obraz oraz uzasadnia swój wybór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na podstawie różnych źródeł wiedzy objaśnia zastosowanie mikroskopów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 diagnostyce chorób człowieka</w:t>
            </w:r>
          </w:p>
        </w:tc>
      </w:tr>
      <w:tr>
        <w:trPr/>
        <w:tc>
          <w:tcPr>
            <w:tcW w:w="13991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b/>
                <w:b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>2. Chemiczne podstawy życia</w:t>
            </w:r>
          </w:p>
        </w:tc>
      </w:tr>
      <w:tr>
        <w:trPr/>
        <w:tc>
          <w:tcPr>
            <w:tcW w:w="23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b/>
                <w:b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>1. Skład chemiczny organizmów.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>Makro- i mikroelementy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klasyfikuje związki chemiczne na organiczne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i nieorganiczne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wymienia związki budujące organizm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klasyfikuje pierwiastki na makroelementy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i mikroelementy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wymienia pierwiastki biogenne</w:t>
            </w:r>
          </w:p>
        </w:tc>
        <w:tc>
          <w:tcPr>
            <w:tcW w:w="23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definiuje pojęcie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val="pl-PL" w:eastAsia="en-US" w:bidi="ar-SA"/>
              </w:rPr>
              <w:t>pierwiastki biogenne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wyjaśnia pojęcia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val="pl-PL" w:eastAsia="en-US" w:bidi="ar-SA"/>
              </w:rPr>
              <w:t>makroelementy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i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val="pl-PL" w:eastAsia="en-US" w:bidi="ar-SA"/>
              </w:rPr>
              <w:t>mikroelementy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wymienia znaczenie wybranych makro-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I mikroelementów</w:t>
            </w:r>
          </w:p>
        </w:tc>
        <w:tc>
          <w:tcPr>
            <w:tcW w:w="23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przedstawia hierarchiczność budowy organizmów na przykładzie człowieka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omawia znaczenie wybranych makro-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I mikroelementów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uzasadnia słuszność stwierdzenia, że pierwiastki są podstawowymi składnikami organizmów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wskazuje kryterium podziału pierwiastków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na podstawie różnych źródeł wiedzy wskazuje pokarmy, które są źródłem makro-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i mikroelementów</w:t>
            </w:r>
          </w:p>
        </w:tc>
      </w:tr>
      <w:tr>
        <w:trPr/>
        <w:tc>
          <w:tcPr>
            <w:tcW w:w="23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b/>
                <w:b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>2. Znaczenie wody dla organizmów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wymienia właściwości wody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wymienia funkcje wody dla organizmów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podaje znaczenie wody dla organizmów</w:t>
            </w:r>
          </w:p>
        </w:tc>
        <w:tc>
          <w:tcPr>
            <w:tcW w:w="23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przedstawia właściwości wody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wody dla organizmów</w:t>
            </w:r>
          </w:p>
        </w:tc>
        <w:tc>
          <w:tcPr>
            <w:tcW w:w="23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charakteryzuje właściwości fizykochemiczne wody i ich znaczenie dla organizmów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uzasadnia znaczenie wody dla organizmów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określa, za jakie właściwości wody odpowiadają wskazane zjawiska, np. unoszenie lodu na powierzchni wody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wykazuje związek między właściwościami wody a jej rolą w organizmie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przedstawia i analizuje zawartość wody w różnych narządach ciała człowieka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przeprowadza samodzielnie nietypowe doświadczenia dotyczące zmian napięcia powierzchniowego wody oraz właściwie interpretuje wyniki</w:t>
            </w:r>
          </w:p>
        </w:tc>
      </w:tr>
      <w:tr>
        <w:trPr/>
        <w:tc>
          <w:tcPr>
            <w:tcW w:w="23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b/>
                <w:b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>3. Węglowodany – budowa i znaczenie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klasyfikuje węglowodany na cukry proste, dwucukry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i wielocukry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podaje przykłady cukrów prostych, dwucukrów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i wielocukrów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nazywa wiązanie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O-glikozydowe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wymienia właściwości cukrów prostych, dwucukrów i wielocukrów</w:t>
            </w:r>
          </w:p>
        </w:tc>
        <w:tc>
          <w:tcPr>
            <w:tcW w:w="23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określa kryterium klasyfikacji węglowodanów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wyjaśnia, w jaki sposób powstaje wiązanie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O-glikozydowe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omawia występowanie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i znaczenie cukrów prostych, dwucukrów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i wielocukrów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wskazuje sposoby wykrywania glukozy i skrobi</w:t>
            </w:r>
          </w:p>
        </w:tc>
        <w:tc>
          <w:tcPr>
            <w:tcW w:w="23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wskazuje różnice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 budowie między poszczególnymi cukrami prostymi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porównuje i charakteryzuje budowę wybranych cukrów prostych, dwucukrów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i wielocukrów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ilustruje powstawanie wiązania O-glikozydowego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planuje i przeprowadza doświadczenie pozwalające wykryć glukozę w soku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z winogron i skrobię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 bulwie ziemniaka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uzasadnia, że wybrane węglowodany pełnią funkcję zapasową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planuje doświadczenie mające na celu wykrycie glukozy i skrobi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 materiale biologicznym</w:t>
            </w:r>
          </w:p>
        </w:tc>
      </w:tr>
      <w:tr>
        <w:trPr/>
        <w:tc>
          <w:tcPr>
            <w:tcW w:w="23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b/>
                <w:b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>4. Białka – budulec życia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przedstawia budowę aminokwasów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podaje nazwę wiązania między aminokwasami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wyróżnia białka proste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i złożone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podaje przykłady białek prostych i złożonych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wymienia funkcje białek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 organizmie człowieka</w:t>
            </w:r>
          </w:p>
        </w:tc>
        <w:tc>
          <w:tcPr>
            <w:tcW w:w="23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podaje kryteria klasyfikacji białek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wskazuje wiązanie peptydowe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omawia funkcje przykładowych białek</w:t>
            </w:r>
          </w:p>
        </w:tc>
        <w:tc>
          <w:tcPr>
            <w:tcW w:w="23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odróżnia białka proste od złożonych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wskazuje grupy funkcyjne aminokwasów, które biorą udział w tworzeniu wiązania peptydowego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przedstawia rolę podstawnika (R)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 aminokwasie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charakteryzuje przykładowe białka w pełnieniu określonej funkcji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wykazuje związek budowy białek z ich funkcjami w organizmie człowieka</w:t>
            </w:r>
          </w:p>
        </w:tc>
      </w:tr>
      <w:tr>
        <w:trPr/>
        <w:tc>
          <w:tcPr>
            <w:tcW w:w="23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b/>
                <w:b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>5. Właściwości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>i wykrywanie białek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definiuje pojęcia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val="pl-PL" w:eastAsia="en-US" w:bidi="ar-SA"/>
              </w:rPr>
              <w:t>koagulacja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i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val="pl-PL" w:eastAsia="en-US" w:bidi="ar-SA"/>
              </w:rPr>
              <w:t>denaturacja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wymienia czynniki wywołujące koagulację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i denaturację białka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opisuje doświadczenie wpływu jednego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z czynników fizykochemicznych na białko</w:t>
            </w:r>
          </w:p>
        </w:tc>
        <w:tc>
          <w:tcPr>
            <w:tcW w:w="23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wyjaśnia, na czym polegają koagulacja białka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i denaturacja białka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określa warunki, w których zachodzą koagulacja białka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i denaturacja białka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klasyfikuje czynniki wywołujące denaturację, dzieląc je na czynniki fizyczne i chemiczne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zgodnie z instrukcją przeprowadza doświadczenie wpływu wybranego czynnika na białko</w:t>
            </w:r>
          </w:p>
        </w:tc>
        <w:tc>
          <w:tcPr>
            <w:tcW w:w="23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rozróżnia koagulację białka od denaturacji białka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planuje doświadczenie wpływu różnych czynników fizykochemicznych na białko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porównuje proces koagulacji białek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z procesem denaturacji białek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wskazuje znaczenie koagulacji i denaturacji białek dla organizmów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przeprowadza doświadczenie dotyczące wpływu różnych czynników fizykochemicznych na białka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planuje i przeprowadza doświadczenie wykrywające białka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 materiale biologicznym</w:t>
            </w:r>
          </w:p>
        </w:tc>
      </w:tr>
      <w:tr>
        <w:trPr/>
        <w:tc>
          <w:tcPr>
            <w:tcW w:w="23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b/>
                <w:b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>6. Lipidy – budowa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>i znaczenie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klasyfikuje lipidy ze względu na budowę cząsteczki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przedstawia budowę lipidów prostych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i złożonych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nazywa wiązanie estrowe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wymienia znaczenie lipidów</w:t>
            </w:r>
          </w:p>
        </w:tc>
        <w:tc>
          <w:tcPr>
            <w:tcW w:w="23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podaje różnicę między lipidami prostymi a lipidami złożonymi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odróżnia tłuszcze właściwe od wosków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klasyfikuje kwasy tłuszczowe na nasycone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i nienasycone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przedstawia klasyfikację lipidów – wskazuje kryterium tego podziału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(konsystencja, pochodzenie)</w:t>
            </w:r>
          </w:p>
        </w:tc>
        <w:tc>
          <w:tcPr>
            <w:tcW w:w="23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charakteryzuje lipidy proste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i lipidy złożone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przeprowadza doświadczenie dotyczące wykrywania obecności lipidów w nasionach słonecznika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wskazuje związek między obecnością wiązań podwójnych w kwasach tłuszczowych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a właściwościami lipidów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porównuje poszczególne grupy lipidów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omawia budowę fosfolipidów i ich znaczenie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 rozmieszczeniu w błonie biologicznej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wyjaśnia związek między budową poszczególnych lipidów a funkcjami, które pełnią w organizmach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planuje i przeprowadza doświadczenia dotyczące wykrywania lipidów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 materiale roślinnym</w:t>
            </w:r>
          </w:p>
        </w:tc>
      </w:tr>
      <w:tr>
        <w:trPr/>
        <w:tc>
          <w:tcPr>
            <w:tcW w:w="23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b/>
                <w:b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>7. Budowa i funkcje kwasów nukleinowych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wyróżnia rodzaje kwasów nukleinowych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wymienia elementy budowy nukleotydu DNA i RNA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przedstawia znaczenie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DNA i RNA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określa lokalizację DNA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i RNA w komórkach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wymienia wiązania występujące w DNA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definiuje pojęcie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val="pl-PL" w:eastAsia="en-US" w:bidi="ar-SA"/>
              </w:rPr>
              <w:t>replikacja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i/>
                <w:i/>
                <w:iCs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val="pl-PL" w:eastAsia="en-US" w:bidi="ar-SA"/>
              </w:rPr>
              <w:t>DNA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wymienia rodzaje RNA</w:t>
            </w:r>
          </w:p>
        </w:tc>
        <w:tc>
          <w:tcPr>
            <w:tcW w:w="23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charakteryzuje budowę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DNA i RNA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wyjaśnia, na czym polega komplementarność zasad azotowych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wymienia inne rodzaje nukleotydów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wskazuje wiązania występujące w DNA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wyjaśnia, na czym polega proces replikacji DNA</w:t>
            </w:r>
          </w:p>
        </w:tc>
        <w:tc>
          <w:tcPr>
            <w:tcW w:w="23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charakteryzuje budowę chemiczną i przestrzenną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DNA i RNA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odróżnia nukleotydy budujące DNA od nukleotydów budujących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RNA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charakteryzuje podobieństwa i różnice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 budowie DNA i RNA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DNA jako nośnika informacji genetycznej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podaje przykłady innych nukleotydów niż nukleotydy budujące DNA i RNA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wskazuje ATP jako jeden z rodzajów nukleotydów</w:t>
            </w:r>
          </w:p>
        </w:tc>
      </w:tr>
      <w:tr>
        <w:trPr/>
        <w:tc>
          <w:tcPr>
            <w:tcW w:w="13991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b/>
                <w:b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>3. Komórka</w:t>
            </w:r>
          </w:p>
        </w:tc>
      </w:tr>
      <w:tr>
        <w:trPr/>
        <w:tc>
          <w:tcPr>
            <w:tcW w:w="23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b/>
                <w:b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>1. Budowa komórki eukariotycznej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definiuje pojęcie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val="pl-PL" w:eastAsia="en-US" w:bidi="ar-SA"/>
              </w:rPr>
              <w:t>komórka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wyróżnia komórki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prokariotyczne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i eukariotyczne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wymienia przykłady komórek prokariotycznych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i eukariotycznych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wskazuje na rysunku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i nazywa struktury komórki eukariotycznej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rozróżnia komórki: zwierzęcą, roślinną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i grzybową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wymienia elementy budowy komórki eukariotycznej</w:t>
            </w:r>
          </w:p>
        </w:tc>
        <w:tc>
          <w:tcPr>
            <w:tcW w:w="23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wskazuje i opisuje różnice między komórkami eukariotycznymi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podaje funkcje różnych komórek w zależności od miejsca ich występowania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rysuje wybraną komórkę eukariotyczną na podstawie obserwacji mikroskopowej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buduje model przestrzenny komórki eukariotycznej</w:t>
            </w:r>
          </w:p>
        </w:tc>
        <w:tc>
          <w:tcPr>
            <w:tcW w:w="23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stosuje kryterium podziału komórek ze względu na występowanie jądra komórkowego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charakteryzuje funkcje struktur komórki eukariotycznej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porównuje komórki eukariotyczne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na podstawie schematów, rysunków, zdjęć i opisów wskazuje struktury komórkowe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na podstawie mikrofotografii rozpoznaje, wskazuje i charakteryzuje struktury komórkowe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wykonuje samodzielnie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i obserwuje nietrwały preparat mikroskopowy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wyjaśnia, dlaczego komórki mają niewielkie rozmiary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argumentuje i wyjaśnia przyczyny różnic w budowie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i funkcjonowaniu komórek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wykazuje związek między budową organelli a ich funkcją</w:t>
            </w:r>
          </w:p>
        </w:tc>
      </w:tr>
      <w:tr>
        <w:trPr/>
        <w:tc>
          <w:tcPr>
            <w:tcW w:w="23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b/>
                <w:b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>2. Budowa i znaczenie błon biologicznych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nazywa i wskazuje składniki błon biologicznych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wymienia właściwości błon biologicznych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wymienia podstawowe funkcje błon biologicznych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i krótko je opisuje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wymienia rodzaje transportu przez błony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(transport bierny: dyfuzja prosta i dyfuzja ułatwiona; transport czynny, endocytoza i egzocytoza)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definiuje pojęcia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val="pl-PL" w:eastAsia="en-US" w:bidi="ar-SA"/>
              </w:rPr>
              <w:t>osmoza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val="pl-PL" w:eastAsia="en-US" w:bidi="ar-SA"/>
              </w:rPr>
              <w:t>dyfuzja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val="pl-PL" w:eastAsia="en-US" w:bidi="ar-SA"/>
              </w:rPr>
              <w:t>roztwór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val="pl-PL" w:eastAsia="en-US" w:bidi="ar-SA"/>
              </w:rPr>
              <w:t>hipotoniczny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val="pl-PL" w:eastAsia="en-US" w:bidi="ar-SA"/>
              </w:rPr>
              <w:t>roztwór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val="pl-PL" w:eastAsia="en-US" w:bidi="ar-SA"/>
              </w:rPr>
              <w:t>izotoniczny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val="pl-PL" w:eastAsia="en-US" w:bidi="ar-SA"/>
              </w:rPr>
              <w:t>roztwór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val="pl-PL" w:eastAsia="en-US" w:bidi="ar-SA"/>
              </w:rPr>
              <w:t>hipertoniczny</w:t>
            </w:r>
          </w:p>
        </w:tc>
        <w:tc>
          <w:tcPr>
            <w:tcW w:w="23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omawia model budowy błony biologicznej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wyjaśnia funkcje błon biologicznych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wyjaśnia różnice między transportem biernym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a transportem czynnym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odróżnia endocytozę od egzocytozy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analizuje schematy transportu substancji przez błony biologiczne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stosuje pojęcia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val="pl-PL" w:eastAsia="en-US" w:bidi="ar-SA"/>
              </w:rPr>
              <w:t>roztwór hipertoniczny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val="pl-PL" w:eastAsia="en-US" w:bidi="ar-SA"/>
              </w:rPr>
              <w:t xml:space="preserve">roztwór izotoniczny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i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val="pl-PL" w:eastAsia="en-US" w:bidi="ar-SA"/>
              </w:rPr>
              <w:t>roztwór hipotoniczny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konstruuje tabelę, w której porównuje rodzaje transportu przez błonę biologiczną</w:t>
            </w:r>
          </w:p>
        </w:tc>
        <w:tc>
          <w:tcPr>
            <w:tcW w:w="23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omawia właściwości błon biologicznych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charakteryzuje rodzaje transportu przez błony biologiczne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wyjaśnia rolę błony komórkowej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porównuje zjawiska osmozy i dyfuzji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przedstawia skutki umieszczenia komórki roślinnej oraz komórki zwierzęcej w roztworach: hipotonicznym, izotonicznym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i hipertonicznym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wykazuje związek między budową błon a ich funkcjami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analizuje rozmieszczenie białek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i lipidów w błonach biologicznych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wyjaśnia rolę i właściwości błony komórkowej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i tonoplastu w procesach osmotycznych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wykazuje związek między budową błony biologicznej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a pełnionymi przez nią funkcjami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planuje doświadczenie mające na celu badanie wpływu roztworów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o różnym stężeniu na zjawisko osmozy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 komórkach roślinnych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na wybranych przykładach wyjaśnia różnice między endocytozą a egzocytozą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planuje i przeprowadza doświadczenie dotyczące transportu substancji przez błony biologiczne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wyjaśnia, dlaczego błona biologiczna jest selektywnie przepuszczalna i omawia, jakie to ma znaczenie dla komórki</w:t>
            </w:r>
          </w:p>
        </w:tc>
      </w:tr>
      <w:tr>
        <w:trPr/>
        <w:tc>
          <w:tcPr>
            <w:tcW w:w="23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b/>
                <w:b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>3. Budowa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>i rola jądra komórkowego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definiuje pojęcia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val="pl-PL" w:eastAsia="en-US" w:bidi="ar-SA"/>
              </w:rPr>
              <w:t>chromatyna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val="pl-PL" w:eastAsia="en-US" w:bidi="ar-SA"/>
              </w:rPr>
              <w:t>chromosom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podaje budowę jądra komórkowego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wymienia funkcje jądra komórkowego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przedstawia budowę chromosomu</w:t>
            </w:r>
          </w:p>
        </w:tc>
        <w:tc>
          <w:tcPr>
            <w:tcW w:w="23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identyfikuje elementy budowy jądra komórkowego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określa skład chemiczny chromatyny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wyjaśnia funkcje poszczególnych elementów jądra komórkowego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wymienia i identyfikuje kolejne etapy upakowania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DNA w jądrze komórkowym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rysuje skondensowany chromosom i wskazuje elementy jego budowy</w:t>
            </w:r>
          </w:p>
        </w:tc>
        <w:tc>
          <w:tcPr>
            <w:tcW w:w="23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charakteryzuje elementy jądra komórkowego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charakteryzuje budowę chromosomu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spiralizacji chromatyny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 chromosomie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wykazuje związek między budową jądra komórkowego a jego funkcją w komórce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dowodzi przyczyn zawartości różnej liczby jąder komórkowych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 komórkach eukariotycznych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uzasadnia stwierdzenie, że jądro komórkowe odgrywa w komórce rolę kierowniczą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uzasadnia znaczenie upakowania DNA w jądrze komórkowym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wyjaśnia, jakie znaczenie ma obecność porów jądrowych</w:t>
            </w:r>
          </w:p>
        </w:tc>
      </w:tr>
      <w:tr>
        <w:trPr/>
        <w:tc>
          <w:tcPr>
            <w:tcW w:w="23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b/>
                <w:b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>4. Składniki cytoplazmy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definiuje pojęcie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val="pl-PL" w:eastAsia="en-US" w:bidi="ar-SA"/>
              </w:rPr>
              <w:t>cytozol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wymienia składniki cytozolu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podaje funkcje cytozolu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wymienia funkcje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cytoszkieletu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podaje budowę oraz funkcje mitochondriów, siateczki śródplazmatycznej, rybosomów, wakuoli, lizosomów, aparatu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Golgiego</w:t>
            </w:r>
          </w:p>
        </w:tc>
        <w:tc>
          <w:tcPr>
            <w:tcW w:w="23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wyjaśnia funkcje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cytoszkieletu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charakteryzuje budowę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i funkcje siateczki śródplazmatycznej, rybosomów, wakuoli, lizosomów, aparatu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Golgiego, mitochondrium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omawia funkcje systemu błon wewnątrzkomórkowych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definiuje przedziałowość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(kompartmentację)</w:t>
            </w:r>
          </w:p>
        </w:tc>
        <w:tc>
          <w:tcPr>
            <w:tcW w:w="23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wyjaśnia, na czym polega funkcjonalne powiązanie między rybosomami, siateczką śródplazmatyczną, aparatem Golgiego a błoną komórkową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omawia funkcje wakuoli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wyjaśnia, od czego zależy liczba i rozmieszczenie mitochondriów w komórce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porównuje siateczkę śródplazmatyczną szorstką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z siateczką śródplazmatyczną gładką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wyjaśnia rolę rybosomów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 syntezie białek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wyjaśnia rolę tonoplastu komórek roślinnych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 procesach osmotycznych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wyjaśnia związek między budową a funkcją składników cytoszkieletu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przedstawia błony wewnątrzkomórkowe jako zintegrowany system strukturalno-funkcjonalny oraz określa jego rolę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 kompartmentacji komórki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lizosomów dla funkcjonowania komórek organizmu człowieka, np. układu odpornościowego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analizuje udział poszczególnych organelli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 syntezie i transporcie białek poza komórkę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określa zależność między aktywnością metaboliczną komórki a ilością i budową mitochondriów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wyjaśnia rolę przedziałów komórkowych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 wytwarzanych przez nie różnych substancjach, np. enzymach</w:t>
            </w:r>
          </w:p>
        </w:tc>
      </w:tr>
      <w:tr>
        <w:trPr/>
        <w:tc>
          <w:tcPr>
            <w:tcW w:w="23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b/>
                <w:b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>5. Cykl komórkowy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definiuje pojęcia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val="pl-PL" w:eastAsia="en-US" w:bidi="ar-SA"/>
              </w:rPr>
              <w:t>cykl komórkowy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val="pl-PL" w:eastAsia="en-US" w:bidi="ar-SA"/>
              </w:rPr>
              <w:t>mitoza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,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val="pl-PL" w:eastAsia="en-US" w:bidi="ar-SA"/>
              </w:rPr>
              <w:t xml:space="preserve"> cytokineza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przedstawia i nazywa etapy cyklu komórkowego</w:t>
            </w:r>
          </w:p>
        </w:tc>
        <w:tc>
          <w:tcPr>
            <w:tcW w:w="23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wyjaśnia rolę interfazy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 cyklu życiowym komórki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analizuje schemat przedstawiający zmiany ilości DNA i chromosomów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 poszczególnych etapach cyklu komórkowego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charakteryzuje cykl komórkowy</w:t>
            </w:r>
          </w:p>
        </w:tc>
        <w:tc>
          <w:tcPr>
            <w:tcW w:w="23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wyjaśnia przebieg cyklu komórkowego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wskazuje, w jaki sposób zmienia się ilość DNA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 cyklu komórkowym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uzasadnia konieczność podwojenia ilości DNA przed podziałem komórki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określa liczbę cząsteczek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DNA w komórkach różnych organizmów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 poszczególnych fazach cyklu komórkowego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interpretuje zależność między występowaniem nowotworu a zaburzonym cyklem komórkowym</w:t>
            </w:r>
          </w:p>
        </w:tc>
      </w:tr>
      <w:tr>
        <w:trPr/>
        <w:tc>
          <w:tcPr>
            <w:tcW w:w="23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b/>
                <w:b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>6. Znaczenie mitozy, mejozy i apoptozy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definiuje pojęcia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val="pl-PL" w:eastAsia="en-US" w:bidi="ar-SA"/>
              </w:rPr>
              <w:t>mejoza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val="pl-PL" w:eastAsia="en-US" w:bidi="ar-SA"/>
              </w:rPr>
              <w:t>apoptoza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przedstawia istotę mitozy i mejozy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przedstawia znaczenie mitozy i mejozy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wskazuje różnicę między komórką haploidalną a komórką diploidalną</w:t>
            </w:r>
          </w:p>
        </w:tc>
        <w:tc>
          <w:tcPr>
            <w:tcW w:w="23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opisuje efekty mejozy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omawia na schemacie przebieg procesu apoptozy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rozróżnia po liczbie powstających komórek mitozę od mejozy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wskazuje, który proces – mitoza czy mejoza – prowadzi do powstania gamet, uzasadnia swój wybór</w:t>
            </w:r>
          </w:p>
        </w:tc>
        <w:tc>
          <w:tcPr>
            <w:tcW w:w="23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porównuje zmiany liczby chromosomów w przebiegu mitozy i mejozy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wyjaśnia, na czym polega apoptoza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przedstawia istotę różnicy między mitozą a mejozą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określa znaczenie apoptozy w prawidłowym rozwoju organizmów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wyjaśnia zmiany zawartości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DNA podczas mejozy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mitozy i mejozy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wyjaśnia, dlaczego mejoza jest nazwana podziałem redukcyjnym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argumentuje konieczności zmian zawartości DNA podczas mejozy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wyjaśnia związek między rozmnażaniem płciowym a zachodzeniem procesu mejozy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argumentuje, że proces apoptozy jest ważny dla prawidłowego funkcjonowania organizmu</w:t>
            </w:r>
          </w:p>
        </w:tc>
      </w:tr>
      <w:tr>
        <w:trPr/>
        <w:tc>
          <w:tcPr>
            <w:tcW w:w="13991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b/>
                <w:b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>4. Metabolizm</w:t>
            </w:r>
          </w:p>
        </w:tc>
      </w:tr>
      <w:tr>
        <w:trPr/>
        <w:tc>
          <w:tcPr>
            <w:tcW w:w="23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b/>
                <w:b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>1. Kierunki przemian metabolicznych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definiuje pojęcia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val="pl-PL" w:eastAsia="en-US" w:bidi="ar-SA"/>
              </w:rPr>
              <w:t>metabolizm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val="pl-PL" w:eastAsia="en-US" w:bidi="ar-SA"/>
              </w:rPr>
              <w:t>anabolizm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val="pl-PL" w:eastAsia="en-US" w:bidi="ar-SA"/>
              </w:rPr>
              <w:t>katabolizm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wymienia nośniki energii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i elektronów w komórce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przedstawia budowę ATP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podaje funkcje ATP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definiuje szlak metaboliczny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i cykl metaboliczny</w:t>
            </w:r>
          </w:p>
        </w:tc>
        <w:tc>
          <w:tcPr>
            <w:tcW w:w="23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wymienia cechy ATP i jego znaczenie w procesach metabolicznych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przedstawia rolę przenośników elektronów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odróżnia na ilustracji szlak metaboliczny od cyklu metabolicznego</w:t>
            </w:r>
          </w:p>
        </w:tc>
        <w:tc>
          <w:tcPr>
            <w:tcW w:w="23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wyjaśnia różnicę między procesami katabolicznymi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a procesami anabolicznymi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charakteryzuje szlak metaboliczny i cykl metaboliczny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omawia przemiany ATP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 ADP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wykazuje związek między budową ATP a jego rolą biologiczną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wykazuje, że procesy anaboliczne i kataboliczne są ze sobą powiązane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porównuje przebieg szlaków metabolicznych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z przebiegiem cyklów metabolicznych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wyjaśnia, w jaki sposób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ATP sprzęga procesy metaboliczne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definiuje i uzasadnia kryteria podziału przemian metabolicznych</w:t>
            </w:r>
          </w:p>
        </w:tc>
      </w:tr>
      <w:tr>
        <w:trPr/>
        <w:tc>
          <w:tcPr>
            <w:tcW w:w="23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b/>
                <w:b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>2. Budowa i działanie enzymów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definiuje pojęcia: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val="pl-PL" w:eastAsia="en-US" w:bidi="ar-SA"/>
              </w:rPr>
              <w:t>enzym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val="pl-PL" w:eastAsia="en-US" w:bidi="ar-SA"/>
              </w:rPr>
              <w:t>katalizator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val="pl-PL" w:eastAsia="en-US" w:bidi="ar-SA"/>
              </w:rPr>
              <w:t>kataliza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val="pl-PL" w:eastAsia="en-US" w:bidi="ar-SA"/>
              </w:rPr>
              <w:t>enzymatyczna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val="pl-PL" w:eastAsia="en-US" w:bidi="ar-SA"/>
              </w:rPr>
              <w:t>energia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val="pl-PL" w:eastAsia="en-US" w:bidi="ar-SA"/>
              </w:rPr>
              <w:t>aktywacji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val="pl-PL" w:eastAsia="en-US" w:bidi="ar-SA"/>
              </w:rPr>
              <w:t>centrum aktywne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val="pl-PL" w:eastAsia="en-US" w:bidi="ar-SA"/>
              </w:rPr>
              <w:t>kompleks enzym–substrat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przedstawia budowę enzymów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podaje rolę enzymów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 komórce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wymienia właściwości enzymów</w:t>
            </w:r>
          </w:p>
        </w:tc>
        <w:tc>
          <w:tcPr>
            <w:tcW w:w="23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charakteryzuje budowę enzymów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omawia właściwości enzymów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przedstawia sposób działania enzymów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wymienia etapy katalizy enzymatycznej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przeprowadza doświadczenie wykazującego wpływ enzymów z ananasa na białka zawarte w żelatynie</w:t>
            </w:r>
          </w:p>
        </w:tc>
        <w:tc>
          <w:tcPr>
            <w:tcW w:w="23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wyjaśnia znaczenie kształtu centrum aktywnego enzymu dla przebiegu reakcji enzymatycznej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wyjaśnia mechanizm działania i właściwości enzymów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wyjaśnia sposób przyspieszania przebiegu reakcji chemicznej przez enzymy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wyjaśnia mechanizm katalizy enzymatycznej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rozróżnia właściwości enzymów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interpretuje wyniki przeprowadzonego doświadczenia wykazującego wpływ enzymów z ananasa na białka zawarte w żelatynie</w:t>
            </w:r>
          </w:p>
        </w:tc>
      </w:tr>
      <w:tr>
        <w:trPr/>
        <w:tc>
          <w:tcPr>
            <w:tcW w:w="23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b/>
                <w:b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>3. Regulacja aktywności enzymów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definiuje pojęcia: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val="pl-PL" w:eastAsia="en-US" w:bidi="ar-SA"/>
              </w:rPr>
              <w:t>inhibitor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val="pl-PL" w:eastAsia="en-US" w:bidi="ar-SA"/>
              </w:rPr>
              <w:t>aktywator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val="pl-PL" w:eastAsia="en-US" w:bidi="ar-SA"/>
              </w:rPr>
              <w:t>ujemne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val="pl-PL" w:eastAsia="en-US" w:bidi="ar-SA"/>
              </w:rPr>
              <w:t>sprzężenie zwrotne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wymienia podstawowe czynniki wpływające na szybkość reakcji enzymatycznych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podaje rolę aktywatorów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i inhibitorów enzymów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przedstawia sposoby regulacji aktywności enzymów</w:t>
            </w:r>
          </w:p>
        </w:tc>
        <w:tc>
          <w:tcPr>
            <w:tcW w:w="23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określa, na czym polega inhibicja, aktywacja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i ujemne sprzężenie zwrotne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opisuje wpływ aktywatorów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i inhibitorów na przebieg reakcji enzymatycznej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omawia wpływ temperatury, wartości pH i stężenia substratu na działanie enzymów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przeprowadza doświadczenie badające wpływ temperatury na aktywność katalazy</w:t>
            </w:r>
          </w:p>
        </w:tc>
        <w:tc>
          <w:tcPr>
            <w:tcW w:w="23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wyjaśnia wpływ stężenia substratu, temperatury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i wartości pH na przebieg reakcji metabolicznej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porównuje mechanizm działania inhibitorów odwracalnych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z mechanizmem działania inhibitorów nieodwracalnych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interpretuje wyniki doświadczenia dotyczącego wpływu wysokiej temperatury na aktywność katalazy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planuje i przeprowadza doświadczenie mające wykazać wpływ dowolnego czynnika na aktywność enzymu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wyjaśnia mechanizm ujemnego sprzężenia zwrotnego jako sposobu regulacji przebiegu szlaków metabolicznych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interpretuje i przewiduje wyniki doświadczenia wpływu różnych czynników na aktywność enzymów</w:t>
            </w:r>
          </w:p>
        </w:tc>
      </w:tr>
      <w:tr>
        <w:trPr/>
        <w:tc>
          <w:tcPr>
            <w:tcW w:w="23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b/>
                <w:b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 xml:space="preserve">4. Oddychanie komórkowe.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>Oddychanie tlenowe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definiuje pojęcie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val="pl-PL" w:eastAsia="en-US" w:bidi="ar-SA"/>
              </w:rPr>
              <w:t>oddychanie komórkowe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wymienia rodzaje oddychania komórkowego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zapisuje reakcję oddychania tlenowego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określa znaczenie oddychania komórkowego dla funkcjonowania organizmu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wymienia etapy oddychania tlenowego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lokalizuje etapy oddychania tlenowego w komórce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wymienia czynniki wpływające na intensywność oddychania tlenowego</w:t>
            </w:r>
          </w:p>
        </w:tc>
        <w:tc>
          <w:tcPr>
            <w:tcW w:w="23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analizuje na podstawie schematu przebieg glikolizy, reakcji pomostowej, cyklu Krebsa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i łańcucha oddechowego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przedstawia rolę przenośników elektronów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 procesie oddychania tlenowego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omawia czynniki wpływające na intensywność oddychania tlenowego</w:t>
            </w:r>
          </w:p>
        </w:tc>
        <w:tc>
          <w:tcPr>
            <w:tcW w:w="23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wskazuje substraty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i produkty poszczególnych etapów oddychania tlenowego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wykazuje związek między budową mitochondrium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a przebiegiem procesu oddychania tlenowego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omawia przebieg poszczególnych etapów oddychania tlenowego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uzasadnia, że oddychanie komórkowe ma charakter kataboliczny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wskazuje miejsca syntezy ATP w procesie oddychania tlenowego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przedstawia zysk energetyczny z utleniania jednej cząsteczki glukozy w trakcie oddychania tlenowego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wykazuje związek między liczbą i budową mitochondriów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a intensywnością oddychania tlenowego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porównuje zysk energetyczny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 poszczególnych etapach oddychania tlenowego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wyjaśnia, dlaczego łańcuch oddechowy zachodzi wyłącznie w warunkach tlenowych</w:t>
            </w:r>
          </w:p>
        </w:tc>
      </w:tr>
      <w:tr>
        <w:trPr/>
        <w:tc>
          <w:tcPr>
            <w:tcW w:w="23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b/>
                <w:b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>5. Procesy beztlenowego uzyskiwania energii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definiuje pojęcie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val="pl-PL" w:eastAsia="en-US" w:bidi="ar-SA"/>
              </w:rPr>
              <w:t>fermentacja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wymienia rodzaje fermentacji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wymienia organizmy przeprowadzające fermentację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określa lokalizację fermentacji w komórce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i ciele człowieka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nazywa etapy fermentacji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podaje zastosowanie fermentacji w życiu codziennym</w:t>
            </w:r>
          </w:p>
        </w:tc>
        <w:tc>
          <w:tcPr>
            <w:tcW w:w="23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odróżnia fermentację mleczanową od fermentacji alkoholowej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przedstawia przebieg poszczególnych etapów fermentacji mleczanowej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omawia wykorzystanie fermentacji mleczanowej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i alkoholowej w życiu człowieka</w:t>
            </w:r>
          </w:p>
        </w:tc>
        <w:tc>
          <w:tcPr>
            <w:tcW w:w="23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wyjaśnia przebieg poszczególnych etapów fermentacji mleczanowej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porównuje i wyjaśnia różnicę między zyskiem energetycznym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 oddychaniu tlenowym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a zyskiem energetycznym fermentacji mleczanowej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określa warunki zachodzenia fermentacji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przedstawia różnice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 przebiegu fermentacji mleczanowej i alkoholowej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wskazuje miejsce i rolę przenośników elektronów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 procesie fermentacji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porównuje drogi przemian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pirogronianu w fermentacji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i w oddychaniu tlenowym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porównuje oddychanie tlenowe z fermentacją mleczanową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tworzy i omawia schemat przebiegu fermentacji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wyjaśnia, dlaczego utlenianie tego samego substratu energetycznego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 warunkach tlenowych dostarcza więcej energii niż w warunkach beztlenowych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wyjaśnia, dlaczego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 erytrocytach zachodzi fermentacja mleczanowa,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a nie oddychanie tlenowe</w:t>
            </w:r>
          </w:p>
        </w:tc>
      </w:tr>
      <w:tr>
        <w:trPr/>
        <w:tc>
          <w:tcPr>
            <w:tcW w:w="23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b/>
                <w:b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val="pl-PL" w:eastAsia="en-US" w:bidi="ar-SA"/>
              </w:rPr>
              <w:t>6. Inne procesy metaboliczne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wymienia składniki pokarmowe jako źródła energii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definiuje pojęcia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lang w:val="pl-PL" w:eastAsia="en-US" w:bidi="ar-SA"/>
              </w:rPr>
            </w:pP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val="pl-PL" w:eastAsia="en-US" w:bidi="ar-SA"/>
              </w:rPr>
              <w:t>glukoneogeneza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, </w:t>
            </w:r>
            <w:r>
              <w:rPr>
                <w:rFonts w:cs="Calibri" w:cstheme="minorHAnsi"/>
                <w:i/>
                <w:iCs/>
                <w:kern w:val="0"/>
                <w:sz w:val="20"/>
                <w:szCs w:val="20"/>
                <w:lang w:val="pl-PL" w:eastAsia="en-US" w:bidi="ar-SA"/>
              </w:rPr>
              <w:t>glikogenoliza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wskazuje miejsce i zarys przebiegu przemian białek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i tłuszczów w organizmie człowieka</w:t>
            </w:r>
          </w:p>
        </w:tc>
        <w:tc>
          <w:tcPr>
            <w:tcW w:w="23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wyjaśnia, na czym polegają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glukoneogeneza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i glikogenoliza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przedstawia rolę składników pokarmowych jako źródła energii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określa warunki i potrzebę zachodzenia w organizmie człowieka glikogenolizy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i glukoneogenezy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podaje znaczenie procesu utleniania kwasów tłuszczowych</w:t>
            </w:r>
          </w:p>
        </w:tc>
        <w:tc>
          <w:tcPr>
            <w:tcW w:w="23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omawia znaczenie utleniania kwasów tłuszczowych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na podstawie schematów omawia przebieg utleniania kwasów tłuszczowych, przemian białek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i glukoneogenezy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wyjaśnia, w jakich sytuacjach dochodzi do przemian tłuszczów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i białek w komórkach człowieka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wyjaśnia różnicę między glikolizą a glukoneogenezą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wyjaśnia przebieg rozkładu białek, cukrów i tłuszczów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określa znaczenie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acetylo-CoA w przebiegu różnych szlaków metabolicznych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wyjaśnia, w jaki sposób organizm pozyskuje energię ze składników pokarmowych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na podstawie schematu przemian metabolicznych określa powiązania między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glukoneogenezą, glikogenolizą, oddychaniem tlenowym oraz utlenianiem kwasów tłuszczowych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•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wykazuje związek między procesami metabolicznymi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(utleniania kwasów tłuszczowych,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glukoneogenezy, glikogenolizy)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  <w:sz w:val="20"/>
                <w:szCs w:val="20"/>
                <w:lang w:val="pl-PL" w:eastAsia="en-US" w:bidi="ar-SA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en-US" w:bidi="ar-SA"/>
              </w:rPr>
              <w:t>a pozyskiwaniem energii przez komórkę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right"/>
        <w:rPr>
          <w:rFonts w:ascii="Calibri" w:hAnsi="Calibri" w:cs="Calibri"/>
          <w:b/>
          <w:b/>
          <w:sz w:val="28"/>
        </w:rPr>
      </w:pPr>
      <w:r>
        <w:rPr>
          <w:rFonts w:cs="Calibri" w:ascii="Calibri" w:hAnsi="Calibri"/>
          <w:b/>
          <w:sz w:val="20"/>
          <w:szCs w:val="16"/>
        </w:rPr>
        <w:t>Autorka: Małgorzata Miękus</w:t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sectPr>
      <w:footerReference w:type="default" r:id="rId2"/>
      <w:type w:val="nextPage"/>
      <w:pgSz w:orient="landscape" w:w="16838" w:h="11906"/>
      <w:pgMar w:left="1418" w:right="1418" w:gutter="0" w:header="0" w:top="1418" w:footer="709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Roboto">
    <w:charset w:val="ee"/>
    <w:family w:val="roman"/>
    <w:pitch w:val="variable"/>
  </w:font>
  <w:font w:name="Calibri">
    <w:charset w:val="ee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</w:p>
  <w:p>
    <w:pPr>
      <w:pStyle w:val="Stopka"/>
      <w:jc w:val="center"/>
      <w:rPr/>
    </w:pPr>
    <w:r>
      <w:rPr/>
      <mc:AlternateContent>
        <mc:Choice Requires="wpg">
          <w:drawing>
            <wp:anchor behindDoc="1" distT="0" distB="0" distL="0" distR="0" simplePos="0" locked="0" layoutInCell="0" allowOverlap="1" relativeHeight="11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9435" cy="384175"/>
              <wp:effectExtent l="1270" t="1905" r="0" b="0"/>
              <wp:wrapNone/>
              <wp:docPr id="1" name="Group 18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98880" cy="383400"/>
                        <a:chOff x="-360720" y="-36360"/>
                        <a:chExt cx="3098880" cy="383400"/>
                      </a:xfrm>
                    </wpg:grpSpPr>
                    <pic:pic xmlns:pic="http://schemas.openxmlformats.org/drawingml/2006/picture">
                      <pic:nvPicPr>
                        <pic:cNvPr id="0" name="Picture 16" descr="logoNE_rgb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17640"/>
                          <a:ext cx="526320" cy="3657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SpPr/>
                      <wps:spPr>
                        <a:xfrm>
                          <a:off x="596160" y="0"/>
                          <a:ext cx="2502360" cy="36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0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eastAsia="Calibri"/>
                                <w:color w:val="00000A"/>
                                <w:lang w:eastAsia="pl-PL" w:val="pl-PL"/>
                              </w:rPr>
                              <w:t>www.dlanauczyciela.pl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0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eastAsia="Calibri"/>
                                <w:color w:val="00000A"/>
                                <w:lang w:eastAsia="pl-PL" w:val="pl-PL"/>
                              </w:rPr>
                              <w:t>© Copyright by Nowa Era Sp. z o.o.</w:t>
                            </w:r>
                          </w:p>
                        </w:txbxContent>
                      </wps:txbx>
                      <wps:bodyPr lIns="144000" rIns="0" tIns="36360" bIns="0" anchor="t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hape_0" alt="Group 18" style="position:absolute;margin-left:-28.4pt;margin-top:-2.85pt;width:244pt;height:30.15pt" coordorigin="-568,-57" coordsize="4880,60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16" stroked="f" o:allowincell="f" style="position:absolute;left:-568;top:-29;width:828;height:575;mso-wrap-style:none;v-text-anchor:middle" type="_x0000_t75">
                <v:imagedata r:id="rId1" o:detectmouseclick="t"/>
                <v:stroke color="#3465a4" joinstyle="round" endcap="flat"/>
                <w10:wrap type="none"/>
              </v:shape>
              <v:rect id="shape_0" path="m0,0l-2147483645,0l-2147483645,-2147483646l0,-2147483646xe" fillcolor="white" stroked="f" o:allowincell="f" style="position:absolute;left:371;top:-57;width:3940;height:569;mso-wrap-style:square;v-text-anchor:top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20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0"/>
                          <w:bCs w:val="false"/>
                          <w:iCs w:val="false"/>
                          <w:smallCaps w:val="false"/>
                          <w:caps w:val="false"/>
                          <w:rFonts w:ascii="Calibri" w:hAnsi="Calibri" w:eastAsia="Calibri"/>
                          <w:color w:val="00000A"/>
                          <w:lang w:eastAsia="pl-PL" w:val="pl-PL"/>
                        </w:rPr>
                        <w:t>www.dlanauczyciela.pl</w:t>
                      </w:r>
                    </w:p>
                    <w:p>
                      <w:pPr>
                        <w:overflowPunct w:val="false"/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20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0"/>
                          <w:bCs w:val="false"/>
                          <w:iCs w:val="false"/>
                          <w:smallCaps w:val="false"/>
                          <w:caps w:val="false"/>
                          <w:rFonts w:ascii="Calibri" w:hAnsi="Calibri" w:eastAsia="Calibri"/>
                          <w:color w:val="00000A"/>
                          <w:lang w:eastAsia="pl-PL" w:val="pl-PL"/>
                        </w:rPr>
                        <w:t>© Copyright by Nowa Era Sp. z o.o.</w:t>
                      </w:r>
                    </w:p>
                  </w:txbxContent>
                </v:textbox>
                <v:fill o:detectmouseclick="t" type="solid" color2="black"/>
                <v:stroke color="#3465a4" joinstyle="round" endcap="flat"/>
                <w10:wrap type="none"/>
              </v:rect>
            </v:group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28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5451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NagwekZnak" w:customStyle="1">
    <w:name w:val="Nagłówek Znak"/>
    <w:link w:val="Nagwek"/>
    <w:uiPriority w:val="99"/>
    <w:qFormat/>
    <w:rsid w:val="00be283b"/>
    <w:rPr>
      <w:rFonts w:ascii="Times New Roman" w:hAnsi="Times New Roman" w:eastAsia="Times New Roman"/>
      <w:sz w:val="24"/>
    </w:rPr>
  </w:style>
  <w:style w:type="character" w:styleId="Zakotwiczenieprzypisudolnego">
    <w:name w:val="Zakotwiczenie przypisu dolnego"/>
    <w:rPr>
      <w:b/>
      <w:sz w:val="18"/>
      <w:vertAlign w:val="superscript"/>
    </w:rPr>
  </w:style>
  <w:style w:type="character" w:styleId="FootnoteCharacters">
    <w:name w:val="Footnote Characters"/>
    <w:semiHidden/>
    <w:qFormat/>
    <w:rsid w:val="00be283b"/>
    <w:rPr>
      <w:b/>
      <w:sz w:val="18"/>
      <w:vertAlign w:val="superscript"/>
    </w:rPr>
  </w:style>
  <w:style w:type="character" w:styleId="TekstprzypisudolnegoZnak" w:customStyle="1">
    <w:name w:val="Tekst przypisu dolnego Znak"/>
    <w:link w:val="Tekstprzypisudolnego"/>
    <w:semiHidden/>
    <w:qFormat/>
    <w:rsid w:val="00be283b"/>
    <w:rPr>
      <w:rFonts w:ascii="Times New Roman" w:hAnsi="Times New Roman" w:eastAsia="Times New Roman"/>
    </w:rPr>
  </w:style>
  <w:style w:type="character" w:styleId="StopkaZnak" w:customStyle="1">
    <w:name w:val="Stopka Znak"/>
    <w:link w:val="Stopka"/>
    <w:uiPriority w:val="99"/>
    <w:qFormat/>
    <w:rsid w:val="000e7d0e"/>
    <w:rPr>
      <w:rFonts w:ascii="Times New Roman" w:hAnsi="Times New Roman" w:eastAsia="Times New Roman"/>
      <w:sz w:val="24"/>
      <w:szCs w:val="24"/>
      <w:lang w:val="en-US" w:eastAsia="en-US"/>
    </w:rPr>
  </w:style>
  <w:style w:type="character" w:styleId="Znakinumeracji" w:customStyle="1">
    <w:name w:val="Znaki numeracji"/>
    <w:qFormat/>
    <w:rsid w:val="00c2032c"/>
    <w:rPr/>
  </w:style>
  <w:style w:type="character" w:styleId="Znakiwypunktowania" w:customStyle="1">
    <w:name w:val="Znaki wypunktowania"/>
    <w:qFormat/>
    <w:rsid w:val="00c2032c"/>
    <w:rPr>
      <w:rFonts w:ascii="OpenSymbol" w:hAnsi="OpenSymbol" w:eastAsia="OpenSymbol" w:cs="OpenSymbol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c2032c"/>
    <w:rPr>
      <w:rFonts w:ascii="Times New Roman" w:hAnsi="Times New Roman" w:eastAsia="Andale Sans UI" w:cs="Tahoma"/>
      <w:kern w:val="2"/>
      <w:lang w:val="de-DE" w:eastAsia="ja-JP" w:bidi="fa-IR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c2032c"/>
    <w:rPr>
      <w:rFonts w:ascii="Times New Roman" w:hAnsi="Times New Roman" w:eastAsia="Andale Sans UI" w:cs="Tahoma"/>
      <w:b/>
      <w:bCs/>
      <w:kern w:val="2"/>
      <w:lang w:val="de-DE" w:eastAsia="ja-JP" w:bidi="fa-IR"/>
    </w:rPr>
  </w:style>
  <w:style w:type="character" w:styleId="TekstdymkaZnak" w:customStyle="1">
    <w:name w:val="Tekst dymka Znak"/>
    <w:link w:val="Tekstdymka"/>
    <w:uiPriority w:val="99"/>
    <w:semiHidden/>
    <w:qFormat/>
    <w:rsid w:val="00c2032c"/>
    <w:rPr>
      <w:rFonts w:ascii="Tahoma" w:hAnsi="Tahoma" w:eastAsia="Andale Sans UI" w:cs="Tahoma"/>
      <w:kern w:val="2"/>
      <w:sz w:val="16"/>
      <w:szCs w:val="16"/>
      <w:lang w:val="de-DE" w:eastAsia="ja-JP" w:bidi="fa-IR"/>
    </w:rPr>
  </w:style>
  <w:style w:type="character" w:styleId="PlandokumentuZnak" w:customStyle="1">
    <w:name w:val="Plan dokumentu Znak"/>
    <w:link w:val="Plandokumentu"/>
    <w:uiPriority w:val="99"/>
    <w:semiHidden/>
    <w:qFormat/>
    <w:rsid w:val="00c2032c"/>
    <w:rPr>
      <w:rFonts w:ascii="Tahoma" w:hAnsi="Tahoma" w:eastAsia="Andale Sans UI" w:cs="Tahoma"/>
      <w:kern w:val="2"/>
      <w:sz w:val="16"/>
      <w:szCs w:val="16"/>
      <w:lang w:val="de-DE" w:eastAsia="ja-JP" w:bidi="fa-IR"/>
    </w:rPr>
  </w:style>
  <w:style w:type="character" w:styleId="Annotationreference">
    <w:name w:val="annotation reference"/>
    <w:uiPriority w:val="99"/>
    <w:semiHidden/>
    <w:unhideWhenUsed/>
    <w:qFormat/>
    <w:rsid w:val="00524057"/>
    <w:rPr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rsid w:val="00c2032c"/>
    <w:pPr/>
    <w:rPr/>
  </w:style>
  <w:style w:type="paragraph" w:styleId="Podpis" w:customStyle="1">
    <w:name w:val="Caption"/>
    <w:basedOn w:val="Standard"/>
    <w:qFormat/>
    <w:rsid w:val="00c2032c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Standard"/>
    <w:qFormat/>
    <w:rsid w:val="00c2032c"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Standard"/>
    <w:next w:val="Textbody"/>
    <w:rsid w:val="00c2032c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Przypisdolny">
    <w:name w:val="Footnote Text"/>
    <w:basedOn w:val="Normal"/>
    <w:link w:val="TekstprzypisudolnegoZnak"/>
    <w:semiHidden/>
    <w:rsid w:val="00be283b"/>
    <w:pPr>
      <w:widowControl w:val="false"/>
      <w:suppressAutoHyphens w:val="true"/>
      <w:ind w:left="227" w:hanging="227"/>
    </w:pPr>
    <w:rPr>
      <w:sz w:val="20"/>
      <w:szCs w:val="20"/>
      <w:lang w:val="pl-PL" w:eastAsia="pl-PL"/>
    </w:rPr>
  </w:style>
  <w:style w:type="paragraph" w:styleId="Standard" w:customStyle="1">
    <w:name w:val="Standard"/>
    <w:qFormat/>
    <w:rsid w:val="00c503c3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Stopka" w:customStyle="1">
    <w:name w:val="Footer"/>
    <w:basedOn w:val="Standard"/>
    <w:rsid w:val="00c2032c"/>
    <w:pPr>
      <w:suppressLineNumbers/>
      <w:tabs>
        <w:tab w:val="clear" w:pos="284"/>
        <w:tab w:val="center" w:pos="7285" w:leader="none"/>
        <w:tab w:val="right" w:pos="14570" w:leader="none"/>
      </w:tabs>
    </w:pPr>
    <w:rPr/>
  </w:style>
  <w:style w:type="paragraph" w:styleId="Textbody" w:customStyle="1">
    <w:name w:val="Text body"/>
    <w:basedOn w:val="Standard"/>
    <w:qFormat/>
    <w:rsid w:val="00c2032c"/>
    <w:pPr>
      <w:spacing w:before="0" w:after="120"/>
    </w:pPr>
    <w:rPr/>
  </w:style>
  <w:style w:type="paragraph" w:styleId="Zawartotabeli" w:customStyle="1">
    <w:name w:val="Zawartość tabeli"/>
    <w:basedOn w:val="Standard"/>
    <w:qFormat/>
    <w:rsid w:val="00c2032c"/>
    <w:pPr>
      <w:suppressLineNumbers/>
    </w:pPr>
    <w:rPr/>
  </w:style>
  <w:style w:type="paragraph" w:styleId="Nagwektabeli" w:customStyle="1">
    <w:name w:val="Nagłówek tabeli"/>
    <w:basedOn w:val="Zawartotabeli"/>
    <w:qFormat/>
    <w:rsid w:val="00c2032c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c2032c"/>
    <w:pPr>
      <w:widowControl w:val="false"/>
      <w:suppressAutoHyphens w:val="true"/>
      <w:ind w:left="720" w:hanging="0"/>
      <w:textAlignment w:val="baseline"/>
    </w:pPr>
    <w:rPr>
      <w:rFonts w:eastAsia="Andale Sans UI" w:cs="Tahoma"/>
      <w:kern w:val="2"/>
      <w:lang w:val="de-DE" w:eastAsia="ja-JP" w:bidi="fa-IR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2032c"/>
    <w:pPr>
      <w:widowControl w:val="false"/>
      <w:suppressAutoHyphens w:val="true"/>
      <w:textAlignment w:val="baseline"/>
    </w:pPr>
    <w:rPr>
      <w:rFonts w:eastAsia="Andale Sans UI" w:cs="Tahoma"/>
      <w:kern w:val="2"/>
      <w:sz w:val="20"/>
      <w:szCs w:val="20"/>
      <w:lang w:val="de-DE" w:eastAsia="ja-JP" w:bidi="fa-IR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2032c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2032c"/>
    <w:pPr>
      <w:widowControl w:val="false"/>
      <w:suppressAutoHyphens w:val="true"/>
      <w:textAlignment w:val="baseline"/>
    </w:pPr>
    <w:rPr>
      <w:rFonts w:ascii="Tahoma" w:hAnsi="Tahoma" w:eastAsia="Andale Sans UI" w:cs="Tahoma"/>
      <w:kern w:val="2"/>
      <w:sz w:val="16"/>
      <w:szCs w:val="16"/>
      <w:lang w:val="de-DE" w:eastAsia="ja-JP" w:bidi="fa-IR"/>
    </w:rPr>
  </w:style>
  <w:style w:type="paragraph" w:styleId="Plandokumentu">
    <w:name w:val="Plan dokumentu"/>
    <w:basedOn w:val="Normal"/>
    <w:link w:val="PlandokumentuZnak"/>
    <w:uiPriority w:val="99"/>
    <w:semiHidden/>
    <w:unhideWhenUsed/>
    <w:qFormat/>
    <w:rsid w:val="00c2032c"/>
    <w:pPr>
      <w:widowControl w:val="false"/>
      <w:suppressAutoHyphens w:val="true"/>
      <w:textAlignment w:val="baseline"/>
    </w:pPr>
    <w:rPr>
      <w:rFonts w:ascii="Tahoma" w:hAnsi="Tahoma" w:eastAsia="Andale Sans UI" w:cs="Tahoma"/>
      <w:kern w:val="2"/>
      <w:sz w:val="16"/>
      <w:szCs w:val="16"/>
      <w:lang w:val="de-DE" w:eastAsia="ja-JP" w:bidi="fa-IR"/>
    </w:rPr>
  </w:style>
  <w:style w:type="paragraph" w:styleId="StopkaCopyright" w:customStyle="1">
    <w:name w:val="Stopka Copyright"/>
    <w:basedOn w:val="Normal"/>
    <w:qFormat/>
    <w:rsid w:val="00245292"/>
    <w:pPr>
      <w:jc w:val="both"/>
    </w:pPr>
    <w:rPr>
      <w:rFonts w:ascii="Roboto" w:hAnsi="Roboto" w:eastAsia="Calibri"/>
      <w:iCs/>
      <w:color w:val="000000"/>
      <w:sz w:val="16"/>
      <w:szCs w:val="18"/>
      <w:lang w:val="pl-PL"/>
    </w:rPr>
  </w:style>
  <w:style w:type="paragraph" w:styleId="Revision">
    <w:name w:val="Revision"/>
    <w:uiPriority w:val="99"/>
    <w:semiHidden/>
    <w:qFormat/>
    <w:rsid w:val="00461eb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c3c40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6D5DD-07B2-40AC-86BA-8110F692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LibreOffice/7.2.4.1$Windows_X86_64 LibreOffice_project/27d75539669ac387bb498e35313b970b7fe9c4f9</Application>
  <AppVersion>15.0000</AppVersion>
  <Pages>10</Pages>
  <Words>3202</Words>
  <Characters>21348</Characters>
  <CharactersWithSpaces>24017</CharactersWithSpaces>
  <Paragraphs>548</Paragraphs>
  <Company>Nowa Era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2019-07-23T13:15:00Z</dcterms:created>
  <dc:creator>a.detka</dc:creator>
  <dc:description/>
  <dc:language>pl-PL</dc:language>
  <cp:lastModifiedBy/>
  <cp:lastPrinted>2019-05-20T05:31:00Z</cp:lastPrinted>
  <dcterms:modified xsi:type="dcterms:W3CDTF">2023-08-30T13:43:29Z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